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BCD4" w14:textId="77777777" w:rsidR="00916EEE" w:rsidRPr="00916EEE" w:rsidRDefault="00916EEE" w:rsidP="00916EEE">
      <w:pPr>
        <w:shd w:val="clear" w:color="auto" w:fill="FFFFFF"/>
        <w:spacing w:after="0" w:line="240" w:lineRule="auto"/>
        <w:jc w:val="right"/>
        <w:rPr>
          <w:rFonts w:ascii="Arial" w:eastAsia="Times New Roman" w:hAnsi="Arial" w:cs="Arial"/>
          <w:color w:val="414142"/>
          <w:kern w:val="0"/>
          <w:sz w:val="20"/>
          <w:szCs w:val="20"/>
          <w:lang w:val="lv-LV" w:eastAsia="lv-LV"/>
          <w14:ligatures w14:val="none"/>
        </w:rPr>
      </w:pPr>
      <w:bookmarkStart w:id="0" w:name="piel2"/>
      <w:bookmarkEnd w:id="0"/>
      <w:r w:rsidRPr="00916EEE">
        <w:rPr>
          <w:rFonts w:ascii="Arial" w:eastAsia="Times New Roman" w:hAnsi="Arial" w:cs="Arial"/>
          <w:color w:val="414142"/>
          <w:kern w:val="0"/>
          <w:sz w:val="20"/>
          <w:szCs w:val="20"/>
          <w:lang w:val="lv-LV" w:eastAsia="lv-LV"/>
          <w14:ligatures w14:val="none"/>
        </w:rPr>
        <w:t>2. pielikums</w:t>
      </w:r>
      <w:r w:rsidRPr="00916EEE">
        <w:rPr>
          <w:rFonts w:ascii="Arial" w:eastAsia="Times New Roman" w:hAnsi="Arial" w:cs="Arial"/>
          <w:color w:val="414142"/>
          <w:kern w:val="0"/>
          <w:sz w:val="20"/>
          <w:szCs w:val="20"/>
          <w:lang w:val="lv-LV" w:eastAsia="lv-LV"/>
          <w14:ligatures w14:val="none"/>
        </w:rPr>
        <w:br/>
        <w:t>Ministru kabineta</w:t>
      </w:r>
      <w:r w:rsidRPr="00916EEE">
        <w:rPr>
          <w:rFonts w:ascii="Arial" w:eastAsia="Times New Roman" w:hAnsi="Arial" w:cs="Arial"/>
          <w:color w:val="414142"/>
          <w:kern w:val="0"/>
          <w:sz w:val="20"/>
          <w:szCs w:val="20"/>
          <w:lang w:val="lv-LV" w:eastAsia="lv-LV"/>
          <w14:ligatures w14:val="none"/>
        </w:rPr>
        <w:br/>
        <w:t>2021. gada 6. jūlija</w:t>
      </w:r>
      <w:r w:rsidRPr="00916EEE">
        <w:rPr>
          <w:rFonts w:ascii="Arial" w:eastAsia="Times New Roman" w:hAnsi="Arial" w:cs="Arial"/>
          <w:color w:val="414142"/>
          <w:kern w:val="0"/>
          <w:sz w:val="20"/>
          <w:szCs w:val="20"/>
          <w:lang w:val="lv-LV" w:eastAsia="lv-LV"/>
          <w14:ligatures w14:val="none"/>
        </w:rPr>
        <w:br/>
        <w:t>noteikumiem Nr. 503</w:t>
      </w:r>
      <w:bookmarkStart w:id="1" w:name="piel-1199941"/>
      <w:bookmarkEnd w:id="1"/>
    </w:p>
    <w:p w14:paraId="539CF040" w14:textId="77777777" w:rsidR="00916EEE" w:rsidRPr="00916EEE" w:rsidRDefault="00916EEE" w:rsidP="00916EEE">
      <w:pPr>
        <w:shd w:val="clear" w:color="auto" w:fill="FFFFFF"/>
        <w:spacing w:before="45" w:after="0" w:line="248" w:lineRule="atLeast"/>
        <w:ind w:firstLine="300"/>
        <w:jc w:val="right"/>
        <w:rPr>
          <w:rFonts w:ascii="Arial" w:eastAsia="Times New Roman" w:hAnsi="Arial" w:cs="Arial"/>
          <w:i/>
          <w:iCs/>
          <w:color w:val="414142"/>
          <w:kern w:val="0"/>
          <w:sz w:val="20"/>
          <w:szCs w:val="20"/>
          <w:lang w:val="lv-LV" w:eastAsia="lv-LV"/>
          <w14:ligatures w14:val="none"/>
        </w:rPr>
      </w:pPr>
      <w:r w:rsidRPr="00916EEE">
        <w:rPr>
          <w:rFonts w:ascii="Arial" w:eastAsia="Times New Roman" w:hAnsi="Arial" w:cs="Arial"/>
          <w:i/>
          <w:iCs/>
          <w:color w:val="414142"/>
          <w:kern w:val="0"/>
          <w:sz w:val="20"/>
          <w:szCs w:val="20"/>
          <w:lang w:val="lv-LV" w:eastAsia="lv-LV"/>
          <w14:ligatures w14:val="none"/>
        </w:rPr>
        <w:t>(Pielikums MK </w:t>
      </w:r>
      <w:hyperlink r:id="rId4" w:tgtFrame="_blank" w:history="1">
        <w:r w:rsidRPr="00916EEE">
          <w:rPr>
            <w:rFonts w:ascii="Arial" w:eastAsia="Times New Roman" w:hAnsi="Arial" w:cs="Arial"/>
            <w:i/>
            <w:iCs/>
            <w:color w:val="16497B"/>
            <w:kern w:val="0"/>
            <w:sz w:val="17"/>
            <w:szCs w:val="17"/>
            <w:u w:val="single"/>
            <w:lang w:val="lv-LV" w:eastAsia="lv-LV"/>
            <w14:ligatures w14:val="none"/>
          </w:rPr>
          <w:t>16.05.2023.</w:t>
        </w:r>
      </w:hyperlink>
      <w:r w:rsidRPr="00916EEE">
        <w:rPr>
          <w:rFonts w:ascii="Arial" w:eastAsia="Times New Roman" w:hAnsi="Arial" w:cs="Arial"/>
          <w:i/>
          <w:iCs/>
          <w:color w:val="414142"/>
          <w:kern w:val="0"/>
          <w:sz w:val="20"/>
          <w:szCs w:val="20"/>
          <w:lang w:val="lv-LV" w:eastAsia="lv-LV"/>
          <w14:ligatures w14:val="none"/>
        </w:rPr>
        <w:t> noteikumu Nr. 243 redakcijā)</w:t>
      </w:r>
    </w:p>
    <w:p w14:paraId="46B99BEB" w14:textId="77777777" w:rsidR="00916EEE" w:rsidRPr="00916EEE" w:rsidRDefault="00916EEE" w:rsidP="00916EEE">
      <w:pPr>
        <w:shd w:val="clear" w:color="auto" w:fill="FFFFFF"/>
        <w:spacing w:after="0" w:line="240" w:lineRule="auto"/>
        <w:jc w:val="center"/>
        <w:rPr>
          <w:rFonts w:ascii="Arial" w:eastAsia="Times New Roman" w:hAnsi="Arial" w:cs="Arial"/>
          <w:b/>
          <w:bCs/>
          <w:color w:val="414142"/>
          <w:kern w:val="0"/>
          <w:sz w:val="27"/>
          <w:szCs w:val="27"/>
          <w:lang w:val="lv-LV" w:eastAsia="lv-LV"/>
          <w14:ligatures w14:val="none"/>
        </w:rPr>
      </w:pPr>
      <w:bookmarkStart w:id="2" w:name="1199942"/>
      <w:bookmarkStart w:id="3" w:name="n-1199942"/>
      <w:bookmarkEnd w:id="2"/>
      <w:bookmarkEnd w:id="3"/>
      <w:r w:rsidRPr="00916EEE">
        <w:rPr>
          <w:rFonts w:ascii="Arial" w:eastAsia="Times New Roman" w:hAnsi="Arial" w:cs="Arial"/>
          <w:b/>
          <w:bCs/>
          <w:color w:val="414142"/>
          <w:kern w:val="0"/>
          <w:sz w:val="27"/>
          <w:szCs w:val="27"/>
          <w:lang w:val="lv-LV" w:eastAsia="lv-LV"/>
          <w14:ligatures w14:val="none"/>
        </w:rPr>
        <w:t>Grūtībās nonākuša uzņēmuma noteikšanas kārtība</w:t>
      </w:r>
    </w:p>
    <w:p w14:paraId="599F69F3"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 Grūtībās nonākuša uzņēmuma pazīmes tiek definētas saskaņā ar Komisijas regulas Nr. </w:t>
      </w:r>
      <w:hyperlink r:id="rId5" w:tgtFrame="_blank" w:history="1">
        <w:r w:rsidRPr="00916EEE">
          <w:rPr>
            <w:rFonts w:ascii="Arial" w:eastAsia="Times New Roman" w:hAnsi="Arial" w:cs="Arial"/>
            <w:color w:val="16497B"/>
            <w:kern w:val="0"/>
            <w:sz w:val="20"/>
            <w:szCs w:val="20"/>
            <w:u w:val="single"/>
            <w:lang w:val="lv-LV" w:eastAsia="lv-LV"/>
            <w14:ligatures w14:val="none"/>
          </w:rPr>
          <w:t> </w:t>
        </w:r>
      </w:hyperlink>
      <w:hyperlink r:id="rId6" w:tgtFrame="_blank" w:history="1">
        <w:r w:rsidRPr="00916EEE">
          <w:rPr>
            <w:rFonts w:ascii="Arial" w:eastAsia="Times New Roman" w:hAnsi="Arial" w:cs="Arial"/>
            <w:color w:val="16497B"/>
            <w:kern w:val="0"/>
            <w:sz w:val="20"/>
            <w:szCs w:val="20"/>
            <w:u w:val="single"/>
            <w:lang w:val="lv-LV" w:eastAsia="lv-LV"/>
            <w14:ligatures w14:val="none"/>
          </w:rPr>
          <w:t>651/2014</w:t>
        </w:r>
      </w:hyperlink>
      <w:r w:rsidRPr="00916EEE">
        <w:rPr>
          <w:rFonts w:ascii="Arial" w:eastAsia="Times New Roman" w:hAnsi="Arial" w:cs="Arial"/>
          <w:color w:val="414142"/>
          <w:kern w:val="0"/>
          <w:sz w:val="20"/>
          <w:szCs w:val="20"/>
          <w:lang w:val="lv-LV" w:eastAsia="lv-LV"/>
          <w14:ligatures w14:val="none"/>
        </w:rPr>
        <w:t> 2. panta 18. punktu.</w:t>
      </w:r>
    </w:p>
    <w:p w14:paraId="53B0787A"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2. To, vai uzņēmums ir grūtībās nonācis, nosaka uz atbalsta piešķiršanas brīdi, t. i., uz dienu, kad sabiedrība "</w:t>
      </w:r>
      <w:proofErr w:type="spellStart"/>
      <w:r w:rsidRPr="00916EEE">
        <w:rPr>
          <w:rFonts w:ascii="Arial" w:eastAsia="Times New Roman" w:hAnsi="Arial" w:cs="Arial"/>
          <w:color w:val="414142"/>
          <w:kern w:val="0"/>
          <w:sz w:val="20"/>
          <w:szCs w:val="20"/>
          <w:lang w:val="lv-LV" w:eastAsia="lv-LV"/>
          <w14:ligatures w14:val="none"/>
        </w:rPr>
        <w:t>Altum</w:t>
      </w:r>
      <w:proofErr w:type="spellEnd"/>
      <w:r w:rsidRPr="00916EEE">
        <w:rPr>
          <w:rFonts w:ascii="Arial" w:eastAsia="Times New Roman" w:hAnsi="Arial" w:cs="Arial"/>
          <w:color w:val="414142"/>
          <w:kern w:val="0"/>
          <w:sz w:val="20"/>
          <w:szCs w:val="20"/>
          <w:lang w:val="lv-LV" w:eastAsia="lv-LV"/>
          <w14:ligatures w14:val="none"/>
        </w:rPr>
        <w:t>" pieņem lēmumu par atbalsta piešķiršanu.</w:t>
      </w:r>
    </w:p>
    <w:p w14:paraId="340ABB0F"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3. Nosaka uzņēmuma statusu Komisijas regulas Nr. </w:t>
      </w:r>
      <w:hyperlink r:id="rId7" w:tgtFrame="_blank" w:history="1">
        <w:r w:rsidRPr="00916EEE">
          <w:rPr>
            <w:rFonts w:ascii="Arial" w:eastAsia="Times New Roman" w:hAnsi="Arial" w:cs="Arial"/>
            <w:color w:val="16497B"/>
            <w:kern w:val="0"/>
            <w:sz w:val="20"/>
            <w:szCs w:val="20"/>
            <w:u w:val="single"/>
            <w:lang w:val="lv-LV" w:eastAsia="lv-LV"/>
            <w14:ligatures w14:val="none"/>
          </w:rPr>
          <w:t>651/2014</w:t>
        </w:r>
      </w:hyperlink>
      <w:r w:rsidRPr="00916EEE">
        <w:rPr>
          <w:rFonts w:ascii="Arial" w:eastAsia="Times New Roman" w:hAnsi="Arial" w:cs="Arial"/>
          <w:color w:val="414142"/>
          <w:kern w:val="0"/>
          <w:sz w:val="20"/>
          <w:szCs w:val="20"/>
          <w:lang w:val="lv-LV" w:eastAsia="lv-LV"/>
          <w14:ligatures w14:val="none"/>
        </w:rPr>
        <w:t> I pielikuma izpratnē.</w:t>
      </w:r>
    </w:p>
    <w:p w14:paraId="1AB70704"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4. Vērtējot grūtībās nonākuša uzņēmuma pazīmes, ir jāiegūst informācija par atbalsta pretendentu un tā saistītajiem uzņēmumiem uz atbalsta piešķiršanas brīdi, t. i., grūtībās nonākuša uzņēmuma statuss tiek noteikts gan uzņēmumam individuāli, gan tā saistīto uzņēmumu grupai kopumā, neņemot vērā partneruzņēmumus.</w:t>
      </w:r>
    </w:p>
    <w:p w14:paraId="7A94F2C0"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5. Atbilstoši uzņēmuma lielumam izvērtē grūtībās nonākuša uzņēmuma pazīmes.</w:t>
      </w:r>
    </w:p>
    <w:p w14:paraId="3F31A8D6"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6. Vērtējot grūtībās nonākuša uzņēmuma pazīmes, sabiedrība "</w:t>
      </w:r>
      <w:proofErr w:type="spellStart"/>
      <w:r w:rsidRPr="00916EEE">
        <w:rPr>
          <w:rFonts w:ascii="Arial" w:eastAsia="Times New Roman" w:hAnsi="Arial" w:cs="Arial"/>
          <w:color w:val="414142"/>
          <w:kern w:val="0"/>
          <w:sz w:val="20"/>
          <w:szCs w:val="20"/>
          <w:lang w:val="lv-LV" w:eastAsia="lv-LV"/>
          <w14:ligatures w14:val="none"/>
        </w:rPr>
        <w:t>Altum</w:t>
      </w:r>
      <w:proofErr w:type="spellEnd"/>
      <w:r w:rsidRPr="00916EEE">
        <w:rPr>
          <w:rFonts w:ascii="Arial" w:eastAsia="Times New Roman" w:hAnsi="Arial" w:cs="Arial"/>
          <w:color w:val="414142"/>
          <w:kern w:val="0"/>
          <w:sz w:val="20"/>
          <w:szCs w:val="20"/>
          <w:lang w:val="lv-LV" w:eastAsia="lv-LV"/>
          <w14:ligatures w14:val="none"/>
        </w:rPr>
        <w:t>" ņem vērā pieteikumam pievienoto informāciju un publiski pieejamos datus par pieteikuma iesniedzēju un tā saistītiem uzņēmumiem, kas ir ticami, tai skaitā par:</w:t>
      </w:r>
    </w:p>
    <w:p w14:paraId="6F26E199"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 6.1. kapitāldaļu turētājiem;</w:t>
      </w:r>
    </w:p>
    <w:p w14:paraId="41A98BD7"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 6.2. finanšu situāciju:</w:t>
      </w:r>
    </w:p>
    <w:p w14:paraId="20668841"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6.2.1. pēdējā gada pārskatu, kurš iesniegts saskaņā ar normatīvo aktu prasībām par gada pārskatu sagatavošanu. Minēto pārskatu un attiecīgi pārskata iesniegšanas savlaicīgumu vērtē kontekstā ar šo noteikumu </w:t>
      </w:r>
      <w:hyperlink r:id="rId8" w:anchor="p31_1" w:history="1">
        <w:r w:rsidRPr="00916EEE">
          <w:rPr>
            <w:rFonts w:ascii="Arial" w:eastAsia="Times New Roman" w:hAnsi="Arial" w:cs="Arial"/>
            <w:color w:val="16497B"/>
            <w:kern w:val="0"/>
            <w:sz w:val="20"/>
            <w:szCs w:val="20"/>
            <w:u w:val="single"/>
            <w:lang w:val="lv-LV" w:eastAsia="lv-LV"/>
            <w14:ligatures w14:val="none"/>
          </w:rPr>
          <w:t>31.</w:t>
        </w:r>
        <w:r w:rsidRPr="00916EEE">
          <w:rPr>
            <w:rFonts w:ascii="Arial" w:eastAsia="Times New Roman" w:hAnsi="Arial" w:cs="Arial"/>
            <w:color w:val="16497B"/>
            <w:kern w:val="0"/>
            <w:sz w:val="20"/>
            <w:szCs w:val="20"/>
            <w:u w:val="single"/>
            <w:vertAlign w:val="superscript"/>
            <w:lang w:val="lv-LV" w:eastAsia="lv-LV"/>
            <w14:ligatures w14:val="none"/>
          </w:rPr>
          <w:t>1</w:t>
        </w:r>
        <w:r w:rsidRPr="00916EEE">
          <w:rPr>
            <w:rFonts w:ascii="Arial" w:eastAsia="Times New Roman" w:hAnsi="Arial" w:cs="Arial"/>
            <w:color w:val="16497B"/>
            <w:kern w:val="0"/>
            <w:sz w:val="20"/>
            <w:szCs w:val="20"/>
            <w:u w:val="single"/>
            <w:lang w:val="lv-LV" w:eastAsia="lv-LV"/>
            <w14:ligatures w14:val="none"/>
          </w:rPr>
          <w:t> punktā</w:t>
        </w:r>
      </w:hyperlink>
      <w:r w:rsidRPr="00916EEE">
        <w:rPr>
          <w:rFonts w:ascii="Arial" w:eastAsia="Times New Roman" w:hAnsi="Arial" w:cs="Arial"/>
          <w:color w:val="414142"/>
          <w:kern w:val="0"/>
          <w:sz w:val="20"/>
          <w:szCs w:val="20"/>
          <w:lang w:val="lv-LV" w:eastAsia="lv-LV"/>
          <w14:ligatures w14:val="none"/>
        </w:rPr>
        <w:t> minēto termiņu;</w:t>
      </w:r>
    </w:p>
    <w:p w14:paraId="1885F497"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6.2.2. operatīvo starpperiodu pārskatu, kurš nav vecāks par vienu mēnesi un kuru apstiprinājis zvērināts revidents. Operatīvo pārskatu pievieno arī tad, ja ir būtiskas izmaiņas pieteikuma iesniedzēja un tā saistīto uzņēmumu (ja attiecināms) situācijā, piemēram, uz pieteikuma iesniegšanas dienu pieteikuma iesniedzējs saskaņā ar 2022. gada pārskatā pieejamo informāciju atbilst grūtībās nonākuša uzņēmuma pazīmēm – vismaz vienai no Komisijas regulas Nr. </w:t>
      </w:r>
      <w:hyperlink r:id="rId9" w:tgtFrame="_blank" w:history="1">
        <w:r w:rsidRPr="00916EEE">
          <w:rPr>
            <w:rFonts w:ascii="Arial" w:eastAsia="Times New Roman" w:hAnsi="Arial" w:cs="Arial"/>
            <w:color w:val="16497B"/>
            <w:kern w:val="0"/>
            <w:sz w:val="20"/>
            <w:szCs w:val="20"/>
            <w:u w:val="single"/>
            <w:lang w:val="lv-LV" w:eastAsia="lv-LV"/>
            <w14:ligatures w14:val="none"/>
          </w:rPr>
          <w:t> </w:t>
        </w:r>
      </w:hyperlink>
      <w:hyperlink r:id="rId10" w:tgtFrame="_blank" w:history="1">
        <w:r w:rsidRPr="00916EEE">
          <w:rPr>
            <w:rFonts w:ascii="Arial" w:eastAsia="Times New Roman" w:hAnsi="Arial" w:cs="Arial"/>
            <w:color w:val="16497B"/>
            <w:kern w:val="0"/>
            <w:sz w:val="20"/>
            <w:szCs w:val="20"/>
            <w:u w:val="single"/>
            <w:lang w:val="lv-LV" w:eastAsia="lv-LV"/>
            <w14:ligatures w14:val="none"/>
          </w:rPr>
          <w:t>651/2014</w:t>
        </w:r>
      </w:hyperlink>
      <w:r w:rsidRPr="00916EEE">
        <w:rPr>
          <w:rFonts w:ascii="Arial" w:eastAsia="Times New Roman" w:hAnsi="Arial" w:cs="Arial"/>
          <w:color w:val="414142"/>
          <w:kern w:val="0"/>
          <w:sz w:val="20"/>
          <w:szCs w:val="20"/>
          <w:lang w:val="lv-LV" w:eastAsia="lv-LV"/>
          <w14:ligatures w14:val="none"/>
        </w:rPr>
        <w:t> 2. panta 18. punktā minētajām situācijām, tomēr no 2022. gada beigām līdz pieteikuma iesniegšanas brīdim ir būtiski uzlabojusies finanšu situācija, novēršot grūtībās nonākuša uzņēmuma pazīmes, un, lai to pierādītu, pieteikuma iesniedzējs iesniedz operatīvo starpperiodu pārskatu par pieteikuma iesniedzēju un saistītajiem uzņēmumiem, kurš nav vecāks par vienu mēnesi un kuru apstiprinājis zvērināts revidents;</w:t>
      </w:r>
    </w:p>
    <w:p w14:paraId="66050990"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lastRenderedPageBreak/>
        <w:t>6.2.3. informāciju par pamatkapitāla palielināšanu (parakstīts), kuru vērtē kompleksi kopā ar zvērināta revidenta apstiprināto operatīvo starpperiodu pārskatu. Parakstītā, bet neapmaksātā pamatkapitāla palielināšana ir jānodrošina pamatkapitāla palielināšanas noteikumos paredzētajā termiņā, bet ne vēlāk kā sešu mēnešu laikā no dienas, kad pieņemts lēmums par pamatkapitāla palielināšanu. Ja parakstītā pamatkapitāla palielināšanas rezultātā uzņēmumam nav grūtībās nonākuša uzņēmuma pazīmju uz atbalsta piešķiršanas dienu, pamatkapitāla palielinājuma apmaksas pienākums tiks noteikts arī aizdevuma līgumā, paredzot sabiedrības "</w:t>
      </w:r>
      <w:proofErr w:type="spellStart"/>
      <w:r w:rsidRPr="00916EEE">
        <w:rPr>
          <w:rFonts w:ascii="Arial" w:eastAsia="Times New Roman" w:hAnsi="Arial" w:cs="Arial"/>
          <w:color w:val="414142"/>
          <w:kern w:val="0"/>
          <w:sz w:val="20"/>
          <w:szCs w:val="20"/>
          <w:lang w:val="lv-LV" w:eastAsia="lv-LV"/>
          <w14:ligatures w14:val="none"/>
        </w:rPr>
        <w:t>Altum</w:t>
      </w:r>
      <w:proofErr w:type="spellEnd"/>
      <w:r w:rsidRPr="00916EEE">
        <w:rPr>
          <w:rFonts w:ascii="Arial" w:eastAsia="Times New Roman" w:hAnsi="Arial" w:cs="Arial"/>
          <w:color w:val="414142"/>
          <w:kern w:val="0"/>
          <w:sz w:val="20"/>
          <w:szCs w:val="20"/>
          <w:lang w:val="lv-LV" w:eastAsia="lv-LV"/>
          <w14:ligatures w14:val="none"/>
        </w:rPr>
        <w:t>" pienākumu vienpusēji atkāpties no aizdevuma līguma un aizņēmēja pienākumu atmaksāt saņemto valsts atbalstu, ja parakstītā pamatkapitāla apmaksa netiek veikta. Ja, saņemot dokumentus, tiek secināts, ka parakstītais kapitāls nav apmaksāts noteiktajā termiņā, kas iestājies pirms atbalsta piešķiršanas, sabiedrība "</w:t>
      </w:r>
      <w:proofErr w:type="spellStart"/>
      <w:r w:rsidRPr="00916EEE">
        <w:rPr>
          <w:rFonts w:ascii="Arial" w:eastAsia="Times New Roman" w:hAnsi="Arial" w:cs="Arial"/>
          <w:color w:val="414142"/>
          <w:kern w:val="0"/>
          <w:sz w:val="20"/>
          <w:szCs w:val="20"/>
          <w:lang w:val="lv-LV" w:eastAsia="lv-LV"/>
          <w14:ligatures w14:val="none"/>
        </w:rPr>
        <w:t>Altum</w:t>
      </w:r>
      <w:proofErr w:type="spellEnd"/>
      <w:r w:rsidRPr="00916EEE">
        <w:rPr>
          <w:rFonts w:ascii="Arial" w:eastAsia="Times New Roman" w:hAnsi="Arial" w:cs="Arial"/>
          <w:color w:val="414142"/>
          <w:kern w:val="0"/>
          <w:sz w:val="20"/>
          <w:szCs w:val="20"/>
          <w:lang w:val="lv-LV" w:eastAsia="lv-LV"/>
          <w14:ligatures w14:val="none"/>
        </w:rPr>
        <w:t>" pieteikumu noraida.</w:t>
      </w:r>
    </w:p>
    <w:p w14:paraId="6A4CC8CE"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7. Ja nav datu, kas nepieciešami grūtībās nonākuša uzņēmuma izvērtēšanai, jo atbilstoši juridiskajam statusam šādi dati bilancē netiek norādīti (piemēram, par zinātniskajām institūcijām, biedrībām), tās grūtībās nonākuša uzņēmuma pazīmes, par kurām nav datu, netiek vērtētas.</w:t>
      </w:r>
    </w:p>
    <w:p w14:paraId="1EC06B78"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8. Ja atbalsta pretendents ir autonoms (t. i., tam nav saistīto uzņēmumu), grūtībās nonākuša uzņēmuma pazīmju vērtējumā tiek ņemti vērā tikai konkrētā uzņēmuma dati. Atbalsts netiek piešķirts autonomiem uzņēmumiem, kuru dati liecina, ka uzņēmums ir nonācis grūtībās.</w:t>
      </w:r>
    </w:p>
    <w:p w14:paraId="56E78BE5"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9. Ja atbalsta pretendentam ir saistītie uzņēmumi un ir pieejams uz atbalsta piešķiršanas brīdi noteiktās visas uzņēmumu grupas konsolidētais pārskats, grūtībās nonākuša uzņēmuma pazīmju vērtēšanā tiek ņemti vērā konsolidētā pārskata dati. Vienlaikus tiek vērtētas arī paša atbalsta pretendenta grūtībās nonākuša uzņēmuma pazīmes:</w:t>
      </w:r>
    </w:p>
    <w:p w14:paraId="0BEEBDF7"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9.1. ja gan pēc konsolidētā pārskata datiem uzņēmumu grupai, gan pēc individuāliem konkrētā uzņēmuma datiem atbalsta pretendentam nav grūtībās nonākuša uzņēmuma pazīmju, atbalsts tiek piešķirts;</w:t>
      </w:r>
    </w:p>
    <w:p w14:paraId="60FA642D"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9.2. ja pēc konsolidētā pārskata datiem uzņēmumu grupai ir grūtībās nonākuša uzņēmuma pazīmes, bet pēc individuāliem konkrētā uzņēmuma datiem atbalsta pretendentam nav grūtībās nonākuša uzņēmuma pazīmju, atbalsts netiek piešķirts;</w:t>
      </w:r>
    </w:p>
    <w:p w14:paraId="00E1FC13"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9.3. ja pēc konsolidētā pārskata datiem uzņēmumu grupai nav grūtībās nonākuša uzņēmuma pazīmju, bet pēc individuāliem konkrētā uzņēmuma datiem atbalsta pretendentam ir grūtībās nonākuša uzņēmuma pazīmes, atbalsts netiek piešķirts;</w:t>
      </w:r>
    </w:p>
    <w:p w14:paraId="789023B0"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9.4. ja atbalsta pretendents, individuāli vērtējot, atbilst grūtībās nonākuša uzņēmuma pazīmēm un pēc konsolidētā pārskata datiem uzņēmumu grupa arī atbilst grūtībās nonākuša uzņēmuma pazīmēm, atbalsts netiek piešķirts.</w:t>
      </w:r>
    </w:p>
    <w:p w14:paraId="4CB61F62"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 xml:space="preserve">10. Ja atbalsta pretendentam ir saistītie uzņēmumi, bet  nav uz atbalsta piešķiršanas brīdi noteiktās visas uzņēmumu grupas konsolidētā pārskata vai grupas sastāvs konsolidētajā pārskatā atšķiras no tā, kas ir noteikts uz atbalsta piešķiršanas brīdi, grūtībās nonākuša uzņēmuma pazīmju vērtēšanā tiek izmantoti summēti dati, kuri iegūti, saskaitot atbalsta pretendenta un katra saistītā </w:t>
      </w:r>
      <w:r w:rsidRPr="00916EEE">
        <w:rPr>
          <w:rFonts w:ascii="Arial" w:eastAsia="Times New Roman" w:hAnsi="Arial" w:cs="Arial"/>
          <w:color w:val="414142"/>
          <w:kern w:val="0"/>
          <w:sz w:val="20"/>
          <w:szCs w:val="20"/>
          <w:lang w:val="lv-LV" w:eastAsia="lv-LV"/>
          <w14:ligatures w14:val="none"/>
        </w:rPr>
        <w:lastRenderedPageBreak/>
        <w:t>uzņēmuma pēdējā noslēgtā gada pārskata datus sīkā (</w:t>
      </w:r>
      <w:proofErr w:type="spellStart"/>
      <w:r w:rsidRPr="00916EEE">
        <w:rPr>
          <w:rFonts w:ascii="Arial" w:eastAsia="Times New Roman" w:hAnsi="Arial" w:cs="Arial"/>
          <w:color w:val="414142"/>
          <w:kern w:val="0"/>
          <w:sz w:val="20"/>
          <w:szCs w:val="20"/>
          <w:lang w:val="lv-LV" w:eastAsia="lv-LV"/>
          <w14:ligatures w14:val="none"/>
        </w:rPr>
        <w:t>mikro</w:t>
      </w:r>
      <w:proofErr w:type="spellEnd"/>
      <w:r w:rsidRPr="00916EEE">
        <w:rPr>
          <w:rFonts w:ascii="Arial" w:eastAsia="Times New Roman" w:hAnsi="Arial" w:cs="Arial"/>
          <w:color w:val="414142"/>
          <w:kern w:val="0"/>
          <w:sz w:val="20"/>
          <w:szCs w:val="20"/>
          <w:lang w:val="lv-LV" w:eastAsia="lv-LV"/>
          <w14:ligatures w14:val="none"/>
        </w:rPr>
        <w:t>) un vidējā uzņēmuma gadījumā vai  pēdējo divu gadu grūtībās nonākuša uzņēmuma pazīmju vērtēšanā nepieciešamos rādītājus lielā uzņēmuma gadījumā:</w:t>
      </w:r>
    </w:p>
    <w:p w14:paraId="01DECF24"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10.1.  ja pēc summētiem datiem tiek aprēķināts, ka saistīto uzņēmumu grupai nav grūtībās nonākuša uzņēmuma pazīmju un atbalsta pretendentam pēc tā individuāliem datiem nav grūtībās nonākuša uzņēmuma pazīmju, atbalsts tiek piešķirts arī tādos gadījumos, kad, individuāli vērtējot, vienam vai vairākiem grupas uzņēmumiem (kas nav atbalsta pretendenti, bet tā saistītie uzņēmumi) ir grūtībās nonākuša uzņēmuma pazīmes, jo tiek ņemti vērā summētie dati par uzņēmumu grupu kopumā;</w:t>
      </w:r>
    </w:p>
    <w:p w14:paraId="5BBD5811"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10.2. ja pēc summētiem datiem tiek aprēķināts, ka uzņēmumu grupai ir grūtībās nonākuša uzņēmuma pazīmes, bet pēc individuāliem uzņēmuma datiem atbalsta pretendentam nav grūtībās nonākuša uzņēmuma pazīmju, atbalsts netiek piešķirts;</w:t>
      </w:r>
    </w:p>
    <w:p w14:paraId="09E862AB"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10.3. ja pēc summētiem datiem tiek aprēķināts, ka uzņēmumu grupai nav grūtībās nonākuša uzņēmuma pazīmju, bet atbalsta pretendentam, individuāli vērtējot, ir grūtībās nonākuša uzņēmuma pazīmes, atbalsts netiek piešķirts;</w:t>
      </w:r>
    </w:p>
    <w:p w14:paraId="331DE01C"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10.4. ja atbalsta pretendentam, individuāli vērtējot, ir grūtībās nonākuša uzņēmuma pazīmes un pēc summētiem datiem uzņēmumu grupai arī ir grūtībās nonākuša uzņēmuma pazīmes, atbalsts netiek piešķirts.</w:t>
      </w:r>
    </w:p>
    <w:p w14:paraId="1C2B6F89"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11. Ja uzņēmumi ir saistīti ar fizisku personu starpniecību, tiek veikta grūtībās nonākuša uzņēmuma noteikšanai nepieciešamo datu summēšana visas uz atbalsta piešķiršanas brīdi noteiktās uzņēmumu grupas saistītajiem uzņēmumiem, vērtēti atbalsta pretendenta dati un juridiskās, finansiālās un administratīvās attiecības ar saistītajiem uzņēmumiem:</w:t>
      </w:r>
    </w:p>
    <w:p w14:paraId="49629AAF"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11.1. ja pēc summētiem datiem tiek aprēķināts, ka saistīto uzņēmumu grupai nav grūtībās nonākuša uzņēmuma pazīmju un atbalsta pretendentam pēc tā individuāliem datiem nav grūtībās nonākuša uzņēmuma pazīmju, atbalsts tiek piešķirts;</w:t>
      </w:r>
    </w:p>
    <w:p w14:paraId="66D50317"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11.2. ja atbalsta pretendentam, individuāli vērtējot, nav grūtībās nonākuša uzņēmuma pazīmju, savukārt, summējot datus ar saistītajiem uzņēmumiem, saistītajiem uzņēmumiem ir grūtībās nonākuša uzņēmuma pazīmes, atbalsts netiek piešķirts;</w:t>
      </w:r>
    </w:p>
    <w:p w14:paraId="14E46931"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11.3. ja atbalsta pretendentam, individuāli vērtējot, ir grūtībās nonākuša uzņēmuma pazīmes, savukārt, summējot datus ar uzņēmumiem, kas saistīti ar fizisku personu starpniecību, nav grūtībās nonākuša uzņēmuma pazīmju, atbalsts netiek piešķirts;</w:t>
      </w:r>
    </w:p>
    <w:p w14:paraId="19A43C7E"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11.4. ja atbalsta pretendentam, individuāli vērtējot, ir grūtībās nonākuša uzņēmuma pazīmes un, summējot datus ar saistītajiem uzņēmumiem, saistītajiem uzņēmumiem ir grūtībās nonākuša uzņēmuma pazīmes, atbalsts netiek piešķirts.</w:t>
      </w:r>
    </w:p>
    <w:p w14:paraId="4CB17062"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lastRenderedPageBreak/>
        <w:t>12. Grūtībās nonākuša uzņēmuma pazīmju noteikšanā ir jāizmanto uz atbalsta piešķiršanas brīdi noteiktās visas uzņēmumu grupas saistīto uzņēmumu gada pārskatu dati. Ja kāda uzņēmuma finanšu dati nav pieejami, izņemot šā pielikuma 7. punktā minēto gadījumu, pieteikumu noraida, jo nav pieejami grūtībās nonākuša uzņēmuma noteikšanai nepieciešamie dati.</w:t>
      </w:r>
    </w:p>
    <w:p w14:paraId="4E314BCC" w14:textId="77777777" w:rsidR="00916EEE" w:rsidRPr="00916EEE" w:rsidRDefault="00916EEE" w:rsidP="00916EEE">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916EEE">
        <w:rPr>
          <w:rFonts w:ascii="Arial" w:eastAsia="Times New Roman" w:hAnsi="Arial" w:cs="Arial"/>
          <w:color w:val="414142"/>
          <w:kern w:val="0"/>
          <w:sz w:val="20"/>
          <w:szCs w:val="20"/>
          <w:lang w:val="lv-LV" w:eastAsia="lv-LV"/>
          <w14:ligatures w14:val="none"/>
        </w:rPr>
        <w:t>13. Ja kādam no izvērtējamiem uzņēmumiem normatīvajos aktos noteiktajā kārtībā valsts reģistros nav iesniegts gada pārskats, pieteikumu noraida, jo nav pieejami grūtībās nonākuša uzņēmuma noteikšanai nepieciešamie dati.</w:t>
      </w:r>
    </w:p>
    <w:p w14:paraId="5A50B0E7" w14:textId="77777777" w:rsidR="00715C76" w:rsidRPr="00916EEE" w:rsidRDefault="00715C76">
      <w:pPr>
        <w:rPr>
          <w:lang w:val="lv-LV"/>
        </w:rPr>
      </w:pPr>
    </w:p>
    <w:sectPr w:rsidR="00715C76" w:rsidRPr="00916E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EE"/>
    <w:rsid w:val="00715C76"/>
    <w:rsid w:val="0091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A484"/>
  <w15:chartTrackingRefBased/>
  <w15:docId w15:val="{BF6684E9-7B25-4882-9E60-D2938CCF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916EEE"/>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styleId="Hyperlink">
    <w:name w:val="Hyperlink"/>
    <w:basedOn w:val="DefaultParagraphFont"/>
    <w:uiPriority w:val="99"/>
    <w:semiHidden/>
    <w:unhideWhenUsed/>
    <w:rsid w:val="00916EEE"/>
    <w:rPr>
      <w:color w:val="0000FF"/>
      <w:u w:val="single"/>
    </w:rPr>
  </w:style>
  <w:style w:type="paragraph" w:styleId="NormalWeb">
    <w:name w:val="Normal (Web)"/>
    <w:basedOn w:val="Normal"/>
    <w:uiPriority w:val="99"/>
    <w:semiHidden/>
    <w:unhideWhenUsed/>
    <w:rsid w:val="00916EEE"/>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138336">
      <w:bodyDiv w:val="1"/>
      <w:marLeft w:val="0"/>
      <w:marRight w:val="0"/>
      <w:marTop w:val="0"/>
      <w:marBottom w:val="0"/>
      <w:divBdr>
        <w:top w:val="none" w:sz="0" w:space="0" w:color="auto"/>
        <w:left w:val="none" w:sz="0" w:space="0" w:color="auto"/>
        <w:bottom w:val="none" w:sz="0" w:space="0" w:color="auto"/>
        <w:right w:val="none" w:sz="0" w:space="0" w:color="auto"/>
      </w:divBdr>
      <w:divsChild>
        <w:div w:id="2083260323">
          <w:marLeft w:val="150"/>
          <w:marRight w:val="150"/>
          <w:marTop w:val="480"/>
          <w:marBottom w:val="0"/>
          <w:divBdr>
            <w:top w:val="none" w:sz="0" w:space="0" w:color="auto"/>
            <w:left w:val="none" w:sz="0" w:space="0" w:color="auto"/>
            <w:bottom w:val="none" w:sz="0" w:space="0" w:color="auto"/>
            <w:right w:val="none" w:sz="0" w:space="0" w:color="auto"/>
          </w:divBdr>
        </w:div>
        <w:div w:id="185218770">
          <w:marLeft w:val="150"/>
          <w:marRight w:val="150"/>
          <w:marTop w:val="480"/>
          <w:marBottom w:val="0"/>
          <w:divBdr>
            <w:top w:val="none" w:sz="0" w:space="0" w:color="auto"/>
            <w:left w:val="none" w:sz="0" w:space="0" w:color="auto"/>
            <w:bottom w:val="none" w:sz="0" w:space="0" w:color="auto"/>
            <w:right w:val="none" w:sz="0" w:space="0" w:color="auto"/>
          </w:divBdr>
        </w:div>
        <w:div w:id="98743655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4615-noteikumi-par-aizdevumiem-ar-kapitala-atlaidi-eksportejosiem-komersantiem-lielo-investiciju-projektu-atbalstam" TargetMode="External"/><Relationship Id="rId3" Type="http://schemas.openxmlformats.org/officeDocument/2006/relationships/webSettings" Target="webSettings.xml"/><Relationship Id="rId7" Type="http://schemas.openxmlformats.org/officeDocument/2006/relationships/hyperlink" Target="http://eur-lex.europa.eu/eli/reg/2014/651/oj/?locale=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eli/reg/2014/651/oj/?locale=LV" TargetMode="External"/><Relationship Id="rId11" Type="http://schemas.openxmlformats.org/officeDocument/2006/relationships/fontTable" Target="fontTable.xml"/><Relationship Id="rId5" Type="http://schemas.openxmlformats.org/officeDocument/2006/relationships/hyperlink" Target="https://eur-lex.europa.eu/legal-content/LV/TXT/?uri=CELEX%3A02014R0651-20210801" TargetMode="External"/><Relationship Id="rId10" Type="http://schemas.openxmlformats.org/officeDocument/2006/relationships/hyperlink" Target="http://eur-lex.europa.eu/eli/reg/2014/651/oj/?locale=LV" TargetMode="External"/><Relationship Id="rId4" Type="http://schemas.openxmlformats.org/officeDocument/2006/relationships/hyperlink" Target="https://likumi.lv/ta/id/342001-grozijumi-ministru-kabineta-2021-gada-6-julija-noteikumos-nr-503-noteikumi-par-aizdevumiem-ar-kapitala-atlaidi-investiciju-proj..." TargetMode="External"/><Relationship Id="rId9" Type="http://schemas.openxmlformats.org/officeDocument/2006/relationships/hyperlink" Target="https://eur-lex.europa.eu/legal-content/LV/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6012</Words>
  <Characters>3427</Characters>
  <Application>Microsoft Office Word</Application>
  <DocSecurity>0</DocSecurity>
  <Lines>28</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Gavare</dc:creator>
  <cp:keywords/>
  <dc:description/>
  <cp:lastModifiedBy>Lita Gavare</cp:lastModifiedBy>
  <cp:revision>1</cp:revision>
  <dcterms:created xsi:type="dcterms:W3CDTF">2023-12-11T07:52:00Z</dcterms:created>
  <dcterms:modified xsi:type="dcterms:W3CDTF">2023-12-11T07:53:00Z</dcterms:modified>
</cp:coreProperties>
</file>